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CONTENT RIGHTS AND BROADCASTING COMPLIANCE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SOP-ADM-164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Administration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Telecommunications and Media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content rights and broadcasting compliance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content rights and broadcasting compliance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content rights and broadcasting compliance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Rollback plan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Steps to restore the pre-change system state if failure occurs.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chnolog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Log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logs user, system, scope, priority and business impact.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impact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reviews access, data, security, dependencies and outage window.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Build or configure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backup, rollback and approval before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implementer builds or configures in a controlled environment.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tester conducts testing. Failures are fixed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Release change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approves release and monitors the post-change result.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ticket and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closes the ticket and updates logs and documentation.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Ticket, testing and change log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SOP-ADM-164  |  Content Rights and Broadcasting Compliance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