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PROPERTY DEVELOPMENT FEASIBILITY STUDY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SOP-PRO-103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Property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property development feasibility study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property development feasibility study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property development feasibility study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Original evidence supporting the purpose and amount of a transaction.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fi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transaction with invoices, receipts, contracts or source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documents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party, amount, date, purpose, account code and completeness.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amount and budget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verifies budget, tax, acceptance evidence and authority limit.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separate officer performs matching checks and detects duplicates or alterations.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Errors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Finance processes the transaction and issues transaction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Reconcile and file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reconciles balances, investigates differences and files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documents and transaction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SOP-PRO-103  |  Property Development Feasibility Study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