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000"/>
        <w:jc w:val="center"/>
      </w:pPr>
      <w:r>
        <w:rPr>
          <w:rFonts w:ascii="Arial" w:hAnsi="Arial"/>
          <w:b/>
          <w:color w:val="12304A"/>
          <w:sz w:val="42"/>
        </w:rPr>
        <w:t>PROSEDUR OPERASI STANDARD</w:t>
        <w:br/>
        <w:t>KEBOLEHKESANAN HASIL DAN PENSIJILAN LADANG</w:t>
      </w:r>
    </w:p>
    <w:p>
      <w:pPr>
        <w:jc w:val="center"/>
      </w:pPr>
      <w:r>
        <w:rPr>
          <w:rFonts w:ascii="Arial" w:hAnsi="Arial"/>
          <w:color w:val="1E5A85"/>
          <w:sz w:val="23"/>
        </w:rPr>
        <w:t>Templat mudah untuk perusahaan kecil dan sederhana</w:t>
      </w:r>
    </w:p>
    <w:p/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505"/>
        <w:gridCol w:w="6679"/>
      </w:tblGrid>
      <w:tr>
        <w:trPr>
          <w:tblHeader w:val="true"/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Medan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Maklumat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Kod dokumen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SOP-KUA-133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Pindaan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00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Jabatan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Kualiti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Kategori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Perladangan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Pemilik proses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[Nama jawatan]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Tarikh berkuat kuasa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[HH/BB/TTTT]</w:t>
            </w:r>
          </w:p>
        </w:tc>
      </w:tr>
    </w:tbl>
    <w:p>
      <w:pPr>
        <w:spacing w:after="20"/>
      </w:pPr>
    </w:p>
    <w:p>
      <w:pPr>
        <w:jc w:val="center"/>
      </w:pPr>
      <w:r>
        <w:rPr>
          <w:b/>
          <w:color w:val="9C2F2F"/>
        </w:rPr>
        <w:t>Sesuaikan nama jawatan, tempoh tindakan dan tempoh simpanan sebelum digunakan.</w:t>
      </w:r>
    </w:p>
    <w:p>
      <w:r>
        <w:br w:type="page"/>
      </w:r>
    </w:p>
    <w:p>
      <w:pPr>
        <w:pStyle w:val="Heading1"/>
        <w:keepNext/>
      </w:pPr>
      <w:r>
        <w:t>1. Tujuan</w:t>
      </w:r>
    </w:p>
    <w:p>
      <w:r>
        <w:t>Menetapkan kaedah mudah dan terkawal bagi kebolehkesanan hasil dan pensijilan ladang supaya tanggungjawab jelas, hasil disemak sebelum diluluskan dan rekod boleh dirujuk semula.</w:t>
      </w:r>
    </w:p>
    <w:p>
      <w:pPr>
        <w:pStyle w:val="Heading1"/>
        <w:keepNext/>
      </w:pPr>
      <w:r>
        <w:t>2. Skop dan Ringkasan Proses</w:t>
      </w:r>
    </w:p>
    <w:p>
      <w:r>
        <w:t>Terpakai kepada pekerja dan pihak berkaitan yang terlibat dalam kebolehkesanan hasil dan pensijilan ladang di [nama syarikat/lokasi]. Proses bermula apabila permintaan atau pencetus diterima dan berakhir apabila hasil diterima, pihak berkaitan dimaklumkan serta rekod ditutup.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338"/>
        <w:gridCol w:w="6846"/>
      </w:tblGrid>
      <w:tr>
        <w:trPr>
          <w:tblHeader w:val="true"/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Perkara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Butiran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Masukan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Permintaan, rujukan terkini, kriteria, tarikh dan maklumat sokongan.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Aktiviti utama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Daftar, semak, laksana, periksa, baiki jika perlu, lulus dan tutup.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Hasil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Hasil kebolehkesanan hasil dan pensijilan ladang yang diterima serta rekod penutupan.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Pelanggan proses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Pemohon, pengguna, pelanggan atau penerima hasil.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jawatan yang bertanggungjawab]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Petunjuk prestasi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Masa siap, hasil diterima kali pertama dan bilangan isu lewat.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3. Istilah Utama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505"/>
        <w:gridCol w:w="6679"/>
      </w:tblGrid>
      <w:tr>
        <w:trPr>
          <w:tblHeader w:val="true"/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Istilah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Maksud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Dokumen sumber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asal yang menyokong tujuan dan amaun transaksi.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Jawatan yang bertanggungjawab terhadap keputusan, prestasi dan pindaan proses.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Rekod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yang diwujudkan ketika aktiviti dijalankan atau keputusan dibuat.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4. Tanggungjawab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783"/>
        <w:gridCol w:w="6401"/>
      </w:tblGrid>
      <w:tr>
        <w:trPr>
          <w:tblHeader w:val="true"/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Peranan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Tanggungjawab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 / Pengurus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Meluluskan kaedah kerja, menyediakan sumber dan menyelesaikan isu yang dieskalasi.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Mendaftarkan permintaan, menyelaras tindakan, memantau tarikh dan menyimpan rekod.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Pelaksana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Menjalankan langkah kerja, mematuhi kawalan dan merekod bukti semasa.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Penyemak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Menyemak hasil terhadap kriteria serta meminta pembetulan jika perlu.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Pelulus / Penerima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Menerima atau menolak hasil dalam had kuasa yang diberikan.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5. Carta Alir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328000" cy="6974477"/>
            <wp:docPr id="1" name="Picture 1" title="Carta Alir Proses" descr="Jawapan Tidak kembali kepada semakan selepas pembetulan.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low-finance-bm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697447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  <w:keepNext/>
      </w:pPr>
      <w:r>
        <w:t>6. Langkah Kerja</w:t>
      </w:r>
    </w:p>
    <w:tbl>
      <w:tblPr>
        <w:tblW w:type="dxa" w:w="9185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557"/>
        <w:gridCol w:w="1781"/>
        <w:gridCol w:w="4843"/>
        <w:gridCol w:w="2004"/>
      </w:tblGrid>
      <w:tr>
        <w:trPr>
          <w:tblHeader w:val="true"/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Bil.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Peringkat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Tindakan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Rekod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1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Terima transaksi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Petugas menerima transaksi bersama invois, resit, kontrak atau dokumen asal.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Daftar permintaan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2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Semak dokumen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Petugas menyemak pihak, amaun, tarikh, tujuan, kod akaun dan kelengkapan.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Senarai semak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3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Sahkan amaun dan bajet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Penyemak mengesahkan bajet, cukai, bukti penerimaan dan had kuasa.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Rekod kerja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4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Semak hasil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Pegawai berasingan menjalankan semakan padanan serta mengesan pendua atau perubahan.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Ulasan semakan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5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Keputusan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Pelulus membuat keputusan. Kesilapan dibetulkan dan disemak semula.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keputusan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6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Proses transaksi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Kewangan memproses transaksi dan mengeluarkan bukti urus niaga.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serahan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7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Rekonsiliasi dan fail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Petugas merekonsiliasi baki, menyiasat perbezaan dan memfailkan rekod.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Fail penutupan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7. Senarai Semak Sebelum Penutupan</w:t>
      </w:r>
    </w:p>
    <w:p>
      <w:pPr>
        <w:pStyle w:val="ListBullet"/>
        <w:spacing w:after="60"/>
      </w:pPr>
      <w:r>
        <w:t>Permintaan, skop dan tarikh sasaran telah direkodkan.</w:t>
      </w:r>
    </w:p>
    <w:p>
      <w:pPr>
        <w:pStyle w:val="ListBullet"/>
        <w:spacing w:after="60"/>
      </w:pPr>
      <w:r>
        <w:t>Rujukan serta versi dokumen yang digunakan adalah terkini.</w:t>
      </w:r>
    </w:p>
    <w:p>
      <w:pPr>
        <w:pStyle w:val="ListBullet"/>
        <w:spacing w:after="60"/>
      </w:pPr>
      <w:r>
        <w:t>Pemilik tindakan dan pelulus dikenal pasti.</w:t>
      </w:r>
    </w:p>
    <w:p>
      <w:pPr>
        <w:pStyle w:val="ListBullet"/>
        <w:spacing w:after="60"/>
      </w:pPr>
      <w:r>
        <w:t>Risiko utama dan kawalan sebelum kerja telah disemak.</w:t>
      </w:r>
    </w:p>
    <w:p>
      <w:pPr>
        <w:pStyle w:val="ListBullet"/>
        <w:spacing w:after="60"/>
      </w:pPr>
      <w:r>
        <w:t>Hasil memenuhi kriteria penerimaan dan mempunyai bukti.</w:t>
      </w:r>
    </w:p>
    <w:p>
      <w:pPr>
        <w:pStyle w:val="ListBullet"/>
        <w:spacing w:after="60"/>
      </w:pPr>
      <w:r>
        <w:t>Pembetulan telah disemak semula sebelum kelulusan.</w:t>
      </w:r>
    </w:p>
    <w:p>
      <w:pPr>
        <w:pStyle w:val="ListBullet"/>
        <w:spacing w:after="60"/>
      </w:pPr>
      <w:r>
        <w:t>Penerima telah dimaklumkan dan rekod penutupan disimpan.</w:t>
      </w:r>
    </w:p>
    <w:p>
      <w:pPr>
        <w:pStyle w:val="Heading1"/>
        <w:keepNext/>
      </w:pPr>
      <w:r>
        <w:t>8. Rekod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3896"/>
        <w:gridCol w:w="2505"/>
        <w:gridCol w:w="2783"/>
      </w:tblGrid>
      <w:tr>
        <w:trPr>
          <w:tblHeader w:val="true"/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Rekod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Penjaga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Tempoh simpanan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Dokumen sumber dan bukti transaksi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Kelulusan dan penerimaan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Isu, pembetulan dan tindakan susulan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 selepas ditutup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Laporan prestasi proses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9. Pemantauan dan Semakan SOP</w:t>
      </w:r>
    </w:p>
    <w:p>
      <w:r>
        <w:t>Pemilik proses menyemak masa siap, penerimaan kali pertama dan isu lewat setiap bulan. SOP ini disemak sekali setahun atau lebih awal apabila berlaku perubahan operasi, undang-undang, sistem, pelanggan atau struktur syarikat.</w:t>
      </w:r>
    </w:p>
    <w:p>
      <w:pPr>
        <w:pStyle w:val="Heading1"/>
        <w:keepNext/>
      </w:pPr>
      <w:r>
        <w:t>10. Kelulusan dan Pindaan</w:t>
      </w:r>
    </w:p>
    <w:tbl>
      <w:tblPr>
        <w:tblW w:type="dxa" w:w="9183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226"/>
        <w:gridCol w:w="3061"/>
        <w:gridCol w:w="1948"/>
        <w:gridCol w:w="1948"/>
      </w:tblGrid>
      <w:tr>
        <w:trPr>
          <w:tblHeader w:val="true"/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Peranan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Nama dan jawatan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Tarikh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Tandatangan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Disediakan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Disemak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Diluluskan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</w:tbl>
    <w:p>
      <w:pPr>
        <w:spacing w:after="20"/>
      </w:pP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810"/>
        <w:gridCol w:w="1891"/>
        <w:gridCol w:w="4322"/>
        <w:gridCol w:w="2161"/>
      </w:tblGrid>
      <w:tr>
        <w:trPr>
          <w:tblHeader w:val="true"/>
          <w:cantSplit/>
        </w:trPr>
        <w:tc>
          <w:tcPr>
            <w:tcW w:type="dxa" w:w="810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Pind.</w:t>
            </w:r>
          </w:p>
        </w:tc>
        <w:tc>
          <w:tcPr>
            <w:tcW w:type="dxa" w:w="189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Tarikh</w:t>
            </w:r>
          </w:p>
        </w:tc>
        <w:tc>
          <w:tcPr>
            <w:tcW w:type="dxa" w:w="4322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Ringkasan pindaan</w:t>
            </w:r>
          </w:p>
        </w:tc>
        <w:tc>
          <w:tcPr>
            <w:tcW w:type="dxa" w:w="21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Diluluskan</w:t>
            </w:r>
          </w:p>
        </w:tc>
      </w:tr>
      <w:tr>
        <w:trPr>
          <w:cantSplit/>
        </w:trPr>
        <w:tc>
          <w:tcPr>
            <w:tcW w:type="dxa" w:w="810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00</w:t>
            </w:r>
          </w:p>
        </w:tc>
        <w:tc>
          <w:tcPr>
            <w:tcW w:type="dxa" w:w="189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[HH/BB/TTTT]</w:t>
            </w:r>
          </w:p>
        </w:tc>
        <w:tc>
          <w:tcPr>
            <w:tcW w:type="dxa" w:w="4322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Keluaran pertama</w:t>
            </w:r>
          </w:p>
        </w:tc>
        <w:tc>
          <w:tcPr>
            <w:tcW w:type="dxa" w:w="21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[Nama]</w:t>
            </w:r>
          </w:p>
        </w:tc>
      </w:tr>
    </w:tbl>
    <w:p>
      <w:pPr>
        <w:spacing w:after="20"/>
      </w:pPr>
    </w:p>
    <w:sectPr w:rsidR="00FC693F" w:rsidRPr="0006063C" w:rsidSect="00034616">
      <w:headerReference w:type="default" r:id="rId9"/>
      <w:footerReference w:type="default" r:id="rId10"/>
      <w:pgSz w:w="11906" w:h="16838"/>
      <w:pgMar w:top="1134" w:right="1134" w:bottom="1134" w:left="1134" w:header="510" w:footer="51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5B6573"/>
        <w:sz w:val="15"/>
      </w:rPr>
      <w:t>Standard Operating Procedure Hub Malaysia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rial" w:hAnsi="Arial"/>
        <w:color w:val="5B6573"/>
        <w:sz w:val="16"/>
      </w:rPr>
      <w:t>SOP-KUA-133  |  Kebolehkesanan Hasil dan Pensijilan Ladang  |  Pind. 00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69" w:lineRule="auto"/>
    </w:pPr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00" w:after="100"/>
      <w:outlineLvl w:val="0"/>
    </w:pPr>
    <w:rPr>
      <w:rFonts w:asciiTheme="majorHAnsi" w:eastAsiaTheme="majorEastAsia" w:hAnsiTheme="majorHAnsi" w:cstheme="majorBidi" w:ascii="Arial" w:hAnsi="Arial"/>
      <w:b/>
      <w:bCs/>
      <w:color w:val="12304A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340" w:hanging="198"/>
      <w:contextualSpacing/>
    </w:pPr>
    <w:rPr>
      <w:rFonts w:ascii="Arial" w:hAnsi="Arial"/>
      <w:sz w:val="20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